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-284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-284" w:hanging="0"/>
        <w:jc w:val="center"/>
        <w:rPr/>
      </w:pPr>
      <w:r>
        <w:rPr>
          <w:b/>
          <w:bCs/>
          <w:sz w:val="32"/>
          <w:szCs w:val="32"/>
        </w:rPr>
        <w:t>Assemblée générale du 23 octobre 2017</w:t>
      </w:r>
    </w:p>
    <w:p>
      <w:pPr>
        <w:pStyle w:val="Normal"/>
        <w:ind w:left="-284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ind w:left="-284" w:hanging="0"/>
        <w:jc w:val="center"/>
        <w:rPr/>
      </w:pPr>
      <w:r>
        <w:rPr>
          <w:b/>
          <w:bCs/>
          <w:sz w:val="32"/>
          <w:szCs w:val="32"/>
        </w:rPr>
        <w:t xml:space="preserve">17h30, Amphimax </w:t>
      </w:r>
    </w:p>
    <w:p>
      <w:pPr>
        <w:pStyle w:val="Normal"/>
        <w:ind w:left="-284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-284" w:hanging="0"/>
        <w:jc w:val="center"/>
        <w:rPr/>
      </w:pPr>
      <w:r>
        <w:rPr>
          <w:b/>
          <w:bCs/>
          <w:sz w:val="28"/>
          <w:szCs w:val="28"/>
        </w:rPr>
        <w:t>PV</w:t>
      </w:r>
    </w:p>
    <w:p>
      <w:pPr>
        <w:pStyle w:val="Normal"/>
        <w:ind w:left="-284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(D. Gigon)</w:t>
      </w:r>
    </w:p>
    <w:p>
      <w:pPr>
        <w:pStyle w:val="Normal"/>
        <w:ind w:left="708" w:hanging="0"/>
        <w:rPr>
          <w:bCs/>
          <w:i/>
          <w:i/>
        </w:rPr>
      </w:pPr>
      <w:r>
        <w:rPr/>
      </w:r>
    </w:p>
    <w:p>
      <w:pPr>
        <w:pStyle w:val="Normal"/>
        <w:ind w:left="708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8" w:hanging="0"/>
        <w:jc w:val="both"/>
        <w:rPr/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Accueil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Adoption de l’ordre du jour</w:t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L’ordre du jour est adopté.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Adoption du PV de l’Assemblée générale du 24 octobre 2016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Le PV est approuvé.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b/>
          <w:sz w:val="24"/>
          <w:szCs w:val="24"/>
        </w:rPr>
        <w:t>4. Rapport d’activité 201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7</w:t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 xml:space="preserve">Marc Dupuis fait le rapport </w:t>
      </w:r>
      <w:r>
        <w:rPr>
          <w:sz w:val="24"/>
          <w:szCs w:val="24"/>
        </w:rPr>
        <w:t>d’activité 2016-2017.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Dominique présente son temps de travail.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Comptes 2016-2017 et budget 2017-2018</w:t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Les comptes sont acceptés.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/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Le budget 201</w:t>
      </w:r>
      <w:r>
        <w:rPr>
          <w:sz w:val="24"/>
          <w:szCs w:val="24"/>
        </w:rPr>
        <w:t>7</w:t>
      </w:r>
      <w:r>
        <w:rPr>
          <w:sz w:val="24"/>
          <w:szCs w:val="24"/>
        </w:rPr>
        <w:t>-1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est accepté.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b/>
          <w:sz w:val="24"/>
          <w:szCs w:val="24"/>
        </w:rPr>
        <w:t>6. Projets 201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8</w:t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 xml:space="preserve">ACIL demande quand le droit à la stabilisation sera décidé au CU. Ils aimeraient des </w:t>
      </w:r>
      <w:r>
        <w:rPr>
          <w:sz w:val="24"/>
          <w:szCs w:val="24"/>
        </w:rPr>
        <w:t>procédures</w:t>
      </w:r>
      <w:r>
        <w:rPr>
          <w:sz w:val="24"/>
          <w:szCs w:val="24"/>
        </w:rPr>
        <w:t xml:space="preserve"> plus claire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de titularisation. Ils se demandent depuis quelques années quelle est la différence en</w:t>
      </w:r>
      <w:r>
        <w:rPr>
          <w:sz w:val="24"/>
          <w:szCs w:val="24"/>
        </w:rPr>
        <w:t>tre</w:t>
      </w:r>
      <w:r>
        <w:rPr>
          <w:sz w:val="24"/>
          <w:szCs w:val="24"/>
        </w:rPr>
        <w:t xml:space="preserve"> premier assistant-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et maître assistant-</w:t>
      </w:r>
      <w:r>
        <w:rPr>
          <w:sz w:val="24"/>
          <w:szCs w:val="24"/>
        </w:rPr>
        <w:t>e</w:t>
      </w:r>
      <w:r>
        <w:rPr>
          <w:sz w:val="24"/>
          <w:szCs w:val="24"/>
        </w:rPr>
        <w:t>. Ils ont cru q</w:t>
      </w:r>
      <w:r>
        <w:rPr>
          <w:sz w:val="24"/>
          <w:szCs w:val="24"/>
        </w:rPr>
        <w:t>ue le statut de premier assistant</w:t>
      </w:r>
      <w:r>
        <w:rPr>
          <w:sz w:val="24"/>
          <w:szCs w:val="24"/>
        </w:rPr>
        <w:t xml:space="preserve"> allait disparaître, mais en fait maintenant il semble qu’ils vont plutôt enlever les maîtres assistant</w:t>
      </w:r>
      <w:r>
        <w:rPr>
          <w:sz w:val="24"/>
          <w:szCs w:val="24"/>
        </w:rPr>
        <w:t>s</w:t>
      </w:r>
      <w:r>
        <w:rPr>
          <w:sz w:val="24"/>
          <w:szCs w:val="24"/>
        </w:rPr>
        <w:t>. Les MA sont hors de la relève complètement.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Marc répond : pour le moment, la direction a gelé les MA. Elle trouve cela « </w:t>
      </w:r>
      <w:r>
        <w:rPr>
          <w:sz w:val="24"/>
          <w:szCs w:val="24"/>
        </w:rPr>
        <w:t>trop peu</w:t>
      </w:r>
      <w:r>
        <w:rPr>
          <w:sz w:val="24"/>
          <w:szCs w:val="24"/>
        </w:rPr>
        <w:t xml:space="preserve"> dynamique ». Elle aimerait un modèle 1</w:t>
      </w:r>
      <w:r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assistant et ensuite titularisation direct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aux rangs de MER ou professeurs. Avec des critères plus élevés. Un moyen d’avoir moins de concurrence parmi les jeunes chercheurs. Un modèle anglo-saxon.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Gaspard : on a assisté à la nomination de MA qui ont été nommé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sur la base de compétence internationales, pas de relève locale. Changement de par</w:t>
      </w:r>
      <w:r>
        <w:rPr>
          <w:sz w:val="24"/>
          <w:szCs w:val="24"/>
        </w:rPr>
        <w:t>adigme</w:t>
      </w:r>
      <w:r>
        <w:rPr>
          <w:sz w:val="24"/>
          <w:szCs w:val="24"/>
        </w:rPr>
        <w:t xml:space="preserve">. Est-ce une conséquence de </w:t>
      </w:r>
      <w:r>
        <w:rPr>
          <w:sz w:val="24"/>
          <w:szCs w:val="24"/>
        </w:rPr>
        <w:t xml:space="preserve">l’entrée en fonction de </w:t>
      </w:r>
      <w:r>
        <w:rPr>
          <w:sz w:val="24"/>
          <w:szCs w:val="24"/>
        </w:rPr>
        <w:t>la nouvelle Dire</w:t>
      </w:r>
      <w:r>
        <w:rPr>
          <w:sz w:val="24"/>
          <w:szCs w:val="24"/>
        </w:rPr>
        <w:t>cti</w:t>
      </w:r>
      <w:r>
        <w:rPr>
          <w:sz w:val="24"/>
          <w:szCs w:val="24"/>
        </w:rPr>
        <w:t>on ?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 xml:space="preserve">Marc : pense que non. C’est au niveau des professeurs de 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ettres qui sont pour beaucoup </w:t>
      </w:r>
      <w:r>
        <w:rPr>
          <w:sz w:val="24"/>
          <w:szCs w:val="24"/>
        </w:rPr>
        <w:t xml:space="preserve">de nationalité </w:t>
      </w:r>
      <w:r>
        <w:rPr>
          <w:sz w:val="24"/>
          <w:szCs w:val="24"/>
        </w:rPr>
        <w:t>français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maintenant. Par contre si cette réforme passe, on va se retrouver perdant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face à la concurrence internationale. Parce qu’ils seront des post-doct</w:t>
      </w:r>
      <w:r>
        <w:rPr>
          <w:sz w:val="24"/>
          <w:szCs w:val="24"/>
        </w:rPr>
        <w:t>o</w:t>
      </w:r>
      <w:r>
        <w:rPr>
          <w:sz w:val="24"/>
          <w:szCs w:val="24"/>
        </w:rPr>
        <w:t>rants, avec plusie</w:t>
      </w:r>
      <w:r>
        <w:rPr>
          <w:sz w:val="24"/>
          <w:szCs w:val="24"/>
        </w:rPr>
        <w:t>urs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cordes à leur arc</w:t>
      </w:r>
      <w:r>
        <w:rPr>
          <w:sz w:val="24"/>
          <w:szCs w:val="24"/>
        </w:rPr>
        <w:t xml:space="preserve">, plus </w:t>
      </w:r>
      <w:r>
        <w:rPr>
          <w:sz w:val="24"/>
          <w:szCs w:val="24"/>
        </w:rPr>
        <w:t>expérimentés</w:t>
      </w:r>
      <w:r>
        <w:rPr>
          <w:sz w:val="24"/>
          <w:szCs w:val="24"/>
        </w:rPr>
        <w:t xml:space="preserve"> dans leur domaine.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Gaspard : r</w:t>
      </w:r>
      <w:r>
        <w:rPr>
          <w:sz w:val="24"/>
          <w:szCs w:val="24"/>
        </w:rPr>
        <w:t>ajoutons à cela</w:t>
      </w:r>
      <w:r>
        <w:rPr>
          <w:sz w:val="24"/>
          <w:szCs w:val="24"/>
        </w:rPr>
        <w:t xml:space="preserve"> le fait qu’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n France, on </w:t>
      </w:r>
      <w:r>
        <w:rPr>
          <w:sz w:val="24"/>
          <w:szCs w:val="24"/>
        </w:rPr>
        <w:t>n’</w:t>
      </w:r>
      <w:r>
        <w:rPr>
          <w:sz w:val="24"/>
          <w:szCs w:val="24"/>
        </w:rPr>
        <w:t xml:space="preserve">engage pas de </w:t>
      </w:r>
      <w:r>
        <w:rPr>
          <w:sz w:val="24"/>
          <w:szCs w:val="24"/>
        </w:rPr>
        <w:t>Suisses</w:t>
      </w:r>
      <w:r>
        <w:rPr>
          <w:sz w:val="24"/>
          <w:szCs w:val="24"/>
        </w:rPr>
        <w:t xml:space="preserve">. Ou très rarement.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 xml:space="preserve">Marc : remarque que ce sont les mêmes fonctionnements qu’en FBM, les </w:t>
      </w:r>
      <w:r>
        <w:rPr>
          <w:sz w:val="24"/>
          <w:szCs w:val="24"/>
        </w:rPr>
        <w:t xml:space="preserve">employés de nationalité </w:t>
      </w:r>
      <w:r>
        <w:rPr>
          <w:sz w:val="24"/>
          <w:szCs w:val="24"/>
        </w:rPr>
        <w:t>étrangè</w:t>
      </w:r>
      <w:r>
        <w:rPr>
          <w:sz w:val="24"/>
          <w:szCs w:val="24"/>
        </w:rPr>
        <w:t>re</w:t>
      </w:r>
      <w:r>
        <w:rPr>
          <w:sz w:val="24"/>
          <w:szCs w:val="24"/>
        </w:rPr>
        <w:t xml:space="preserve"> ne conteste</w:t>
      </w:r>
      <w:r>
        <w:rPr>
          <w:sz w:val="24"/>
          <w:szCs w:val="24"/>
        </w:rPr>
        <w:t>nt</w:t>
      </w:r>
      <w:r>
        <w:rPr>
          <w:sz w:val="24"/>
          <w:szCs w:val="24"/>
        </w:rPr>
        <w:t xml:space="preserve"> pas l</w:t>
      </w:r>
      <w:r>
        <w:rPr>
          <w:sz w:val="24"/>
          <w:szCs w:val="24"/>
        </w:rPr>
        <w:t>es taux d’engagement réduits</w:t>
      </w:r>
      <w:r>
        <w:rPr>
          <w:sz w:val="24"/>
          <w:szCs w:val="24"/>
        </w:rPr>
        <w:t xml:space="preserve">. </w:t>
      </w:r>
    </w:p>
    <w:p>
      <w:pPr>
        <w:pStyle w:val="Normal"/>
        <w:ind w:left="708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Dominique : répond que ACIDUL interviendrait au besoin. Précise la méthode.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P</w:t>
      </w:r>
      <w:r>
        <w:rPr>
          <w:sz w:val="24"/>
          <w:szCs w:val="24"/>
        </w:rPr>
        <w:t>oltier</w:t>
      </w:r>
      <w:r>
        <w:rPr>
          <w:sz w:val="24"/>
          <w:szCs w:val="24"/>
        </w:rPr>
        <w:t> : 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méthode </w:t>
      </w:r>
      <w:r>
        <w:rPr>
          <w:sz w:val="24"/>
          <w:szCs w:val="24"/>
        </w:rPr>
        <w:t xml:space="preserve">du questionnaire </w:t>
      </w:r>
      <w:r>
        <w:rPr>
          <w:sz w:val="24"/>
          <w:szCs w:val="24"/>
        </w:rPr>
        <w:t>est-elle utilisable partout ?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 xml:space="preserve">Marc : oui, </w:t>
      </w:r>
      <w:r>
        <w:rPr>
          <w:sz w:val="24"/>
          <w:szCs w:val="24"/>
        </w:rPr>
        <w:t>elle fait ses preuves.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Guillaume é</w:t>
      </w:r>
      <w:r>
        <w:rPr>
          <w:sz w:val="24"/>
          <w:szCs w:val="24"/>
        </w:rPr>
        <w:t xml:space="preserve">voque le </w:t>
      </w:r>
      <w:r>
        <w:rPr>
          <w:sz w:val="24"/>
          <w:szCs w:val="24"/>
        </w:rPr>
        <w:t xml:space="preserve">postulat au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onseil de l’UNIL </w:t>
      </w:r>
      <w:r>
        <w:rPr>
          <w:sz w:val="24"/>
          <w:szCs w:val="24"/>
        </w:rPr>
        <w:t>comme bon instrument également</w:t>
      </w:r>
      <w:r>
        <w:rPr>
          <w:sz w:val="24"/>
          <w:szCs w:val="24"/>
        </w:rPr>
        <w:t xml:space="preserve">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Dominique : comment sentez-</w:t>
      </w:r>
      <w:r>
        <w:rPr>
          <w:sz w:val="24"/>
          <w:szCs w:val="24"/>
        </w:rPr>
        <w:t>vous</w:t>
      </w:r>
      <w:r>
        <w:rPr>
          <w:sz w:val="24"/>
          <w:szCs w:val="24"/>
        </w:rPr>
        <w:t xml:space="preserve"> vos collègues en </w:t>
      </w:r>
      <w:r>
        <w:rPr>
          <w:sz w:val="24"/>
          <w:szCs w:val="24"/>
        </w:rPr>
        <w:t>L</w:t>
      </w:r>
      <w:r>
        <w:rPr>
          <w:sz w:val="24"/>
          <w:szCs w:val="24"/>
        </w:rPr>
        <w:t>ettres ?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 xml:space="preserve">Joanne : </w:t>
      </w:r>
      <w:r>
        <w:rPr>
          <w:sz w:val="24"/>
          <w:szCs w:val="24"/>
        </w:rPr>
        <w:t xml:space="preserve">il y </w:t>
      </w:r>
      <w:r>
        <w:rPr>
          <w:sz w:val="24"/>
          <w:szCs w:val="24"/>
        </w:rPr>
        <w:t>avait une enquête a l’époque, donc intéress</w:t>
      </w:r>
      <w:r>
        <w:rPr>
          <w:sz w:val="24"/>
          <w:szCs w:val="24"/>
        </w:rPr>
        <w:t>ant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refaire </w:t>
      </w:r>
      <w:r>
        <w:rPr>
          <w:sz w:val="24"/>
          <w:szCs w:val="24"/>
        </w:rPr>
        <w:t>un questionnaire</w:t>
      </w:r>
      <w:r>
        <w:rPr>
          <w:sz w:val="24"/>
          <w:szCs w:val="24"/>
        </w:rPr>
        <w:t>. Il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ont laissé tombé faute de temps.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>Question d’une dame de FGSE </w:t>
      </w:r>
      <w:r>
        <w:rPr>
          <w:sz w:val="24"/>
          <w:szCs w:val="24"/>
        </w:rPr>
        <w:t>concernant</w:t>
      </w:r>
      <w:r>
        <w:rPr>
          <w:sz w:val="24"/>
          <w:szCs w:val="24"/>
        </w:rPr>
        <w:t xml:space="preserve"> les MA : </w:t>
      </w:r>
      <w:r>
        <w:rPr>
          <w:sz w:val="24"/>
          <w:szCs w:val="24"/>
        </w:rPr>
        <w:t>ce sont d</w:t>
      </w:r>
      <w:r>
        <w:rPr>
          <w:sz w:val="24"/>
          <w:szCs w:val="24"/>
        </w:rPr>
        <w:t>es postes mal défin</w:t>
      </w:r>
      <w:r>
        <w:rPr>
          <w:sz w:val="24"/>
          <w:szCs w:val="24"/>
        </w:rPr>
        <w:t>is</w:t>
      </w:r>
      <w:r>
        <w:rPr>
          <w:sz w:val="24"/>
          <w:szCs w:val="24"/>
        </w:rPr>
        <w:t>, très variable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suivant les institutions, les fac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et les laboratoire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. Un maître assistant est placé sous un professeur. Un agenda d’indépendance, mais difficile à </w:t>
      </w:r>
      <w:r>
        <w:rPr>
          <w:sz w:val="24"/>
          <w:szCs w:val="24"/>
        </w:rPr>
        <w:t>assurer</w:t>
      </w:r>
      <w:r>
        <w:rPr>
          <w:sz w:val="24"/>
          <w:szCs w:val="24"/>
        </w:rPr>
        <w:t>, alor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qu’assistant-</w:t>
      </w:r>
      <w:r>
        <w:rPr>
          <w:sz w:val="24"/>
          <w:szCs w:val="24"/>
        </w:rPr>
        <w:t>diplômé</w:t>
      </w:r>
      <w:r>
        <w:rPr>
          <w:sz w:val="24"/>
          <w:szCs w:val="24"/>
        </w:rPr>
        <w:t xml:space="preserve"> c’est plus clair.  </w:t>
      </w:r>
      <w:r>
        <w:rPr>
          <w:sz w:val="24"/>
          <w:szCs w:val="24"/>
        </w:rPr>
        <w:t>Concernant</w:t>
      </w:r>
      <w:r>
        <w:rPr>
          <w:sz w:val="24"/>
          <w:szCs w:val="24"/>
        </w:rPr>
        <w:t xml:space="preserve"> la proposition d’</w:t>
      </w:r>
      <w:r>
        <w:rPr>
          <w:sz w:val="24"/>
          <w:szCs w:val="24"/>
        </w:rPr>
        <w:t xml:space="preserve">ACIDUL </w:t>
      </w:r>
      <w:r>
        <w:rPr>
          <w:sz w:val="24"/>
          <w:szCs w:val="24"/>
        </w:rPr>
        <w:t>de titularis</w:t>
      </w:r>
      <w:r>
        <w:rPr>
          <w:sz w:val="24"/>
          <w:szCs w:val="24"/>
        </w:rPr>
        <w:t>er</w:t>
      </w:r>
      <w:r>
        <w:rPr>
          <w:sz w:val="24"/>
          <w:szCs w:val="24"/>
        </w:rPr>
        <w:t xml:space="preserve"> les MA en MER, </w:t>
      </w:r>
      <w:r>
        <w:rPr>
          <w:sz w:val="24"/>
          <w:szCs w:val="24"/>
        </w:rPr>
        <w:t>elle ne semble pas convaincue.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Aline </w:t>
      </w:r>
      <w:r>
        <w:rPr>
          <w:sz w:val="24"/>
          <w:szCs w:val="24"/>
        </w:rPr>
        <w:t>de l’</w:t>
      </w:r>
      <w:r>
        <w:rPr>
          <w:sz w:val="24"/>
          <w:szCs w:val="24"/>
        </w:rPr>
        <w:t xml:space="preserve">ADAS : on a décidé de </w:t>
      </w:r>
      <w:r>
        <w:rPr>
          <w:sz w:val="24"/>
          <w:szCs w:val="24"/>
        </w:rPr>
        <w:t xml:space="preserve">ne </w:t>
      </w:r>
      <w:r>
        <w:rPr>
          <w:sz w:val="24"/>
          <w:szCs w:val="24"/>
        </w:rPr>
        <w:t xml:space="preserve">pas se prononcer sur ce sujet. Pas assez d’éléments, pas assez de MA, et les MER sont satisfaits.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sz w:val="24"/>
          <w:szCs w:val="24"/>
        </w:rPr>
        <w:t xml:space="preserve">En droit : </w:t>
      </w:r>
      <w:r>
        <w:rPr>
          <w:sz w:val="24"/>
          <w:szCs w:val="24"/>
        </w:rPr>
        <w:t>le fonctionnement est particulier, car très peu de MA et MER de toute façon.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 : </w:t>
      </w:r>
      <w:r>
        <w:rPr>
          <w:sz w:val="24"/>
          <w:szCs w:val="24"/>
        </w:rPr>
        <w:t xml:space="preserve">concernant </w:t>
      </w:r>
      <w:r>
        <w:rPr>
          <w:sz w:val="24"/>
          <w:szCs w:val="24"/>
        </w:rPr>
        <w:t xml:space="preserve">le passage de MA a MER, ou de MER a PA, la loi ne parle pas de « promotion ». Il faudrait introduire quelque chose de plus explicite à </w:t>
      </w:r>
      <w:r>
        <w:rPr>
          <w:sz w:val="24"/>
          <w:szCs w:val="24"/>
        </w:rPr>
        <w:t>cet égard</w:t>
      </w:r>
      <w:r>
        <w:rPr>
          <w:sz w:val="24"/>
          <w:szCs w:val="24"/>
        </w:rPr>
        <w:t xml:space="preserve">. 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/>
      </w:pPr>
      <w:r>
        <w:rPr>
          <w:b/>
          <w:sz w:val="24"/>
          <w:szCs w:val="24"/>
        </w:rPr>
        <w:t>7. Élection</w:t>
      </w:r>
      <w:r>
        <w:rPr>
          <w:b/>
          <w:sz w:val="24"/>
          <w:szCs w:val="24"/>
        </w:rPr>
        <w:t>s</w:t>
      </w:r>
    </w:p>
    <w:p>
      <w:pPr>
        <w:pStyle w:val="Normal"/>
        <w:ind w:left="70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Au comité : Marc Dupuis (coprésident), Maxime Mellina (coprésident), Francis Kay, Clémence Demay, Amélie Stuby, Hugues Poltier, Guillaume Pirot.</w:t>
      </w:r>
    </w:p>
    <w:p>
      <w:pPr>
        <w:pStyle w:val="Normal"/>
        <w:ind w:left="70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left="70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Vérificateurs des comptes : Guillaume Pirot et François Allisson</w:t>
      </w:r>
    </w:p>
    <w:p>
      <w:pPr>
        <w:pStyle w:val="Normal"/>
        <w:ind w:left="70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left="708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É</w:t>
      </w:r>
      <w:r>
        <w:rPr>
          <w:b w:val="false"/>
          <w:bCs w:val="false"/>
          <w:sz w:val="24"/>
          <w:szCs w:val="24"/>
        </w:rPr>
        <w:t>lections des commissions diverses (cf. site internet d’ACIDUL)</w:t>
      </w:r>
    </w:p>
    <w:p>
      <w:pPr>
        <w:pStyle w:val="Normal"/>
        <w:ind w:left="708" w:hanging="0"/>
        <w:jc w:val="both"/>
        <w:rPr>
          <w:b/>
          <w:b/>
          <w:sz w:val="24"/>
          <w:szCs w:val="24"/>
        </w:rPr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divers et propositions individuelles</w:t>
      </w:r>
    </w:p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Déjà traité sous point 6.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left="708" w:hanging="0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425" w:top="1809" w:footer="0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1"/>
      <w:ind w:left="-567" w:hanging="0"/>
      <w:rPr/>
    </w:pPr>
    <w:r>
      <w:rPr/>
      <w:drawing>
        <wp:inline distT="0" distB="0" distL="0" distR="0">
          <wp:extent cx="4658995" cy="617220"/>
          <wp:effectExtent l="0" t="0" r="0" b="0"/>
          <wp:docPr id="1" name="Picture" descr="acidul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acidul-logo-we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5899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CH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CH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left"/>
    </w:pPr>
    <w:rPr>
      <w:rFonts w:ascii="Calibri" w:hAnsi="Calibri" w:eastAsia="Calibri" w:cs=""/>
      <w:color w:val="00000A"/>
      <w:sz w:val="22"/>
      <w:szCs w:val="22"/>
      <w:lang w:val="fr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81726f"/>
    <w:rPr/>
  </w:style>
  <w:style w:type="character" w:styleId="PieddepageCar" w:customStyle="1">
    <w:name w:val="Pied de page Car"/>
    <w:basedOn w:val="DefaultParagraphFont"/>
    <w:link w:val="Pieddepage1"/>
    <w:uiPriority w:val="99"/>
    <w:qFormat/>
    <w:rsid w:val="0081726f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1726f"/>
    <w:rPr>
      <w:rFonts w:ascii="Lucida Grande" w:hAnsi="Lucida Grande" w:cs="Lucida Grande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6248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5b6248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5b624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d42e5"/>
    <w:rPr>
      <w:b/>
      <w:bCs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Wingdings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Wingdings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eastAsia="Calibri"/>
    </w:rPr>
  </w:style>
  <w:style w:type="character" w:styleId="ListLabel18" w:customStyle="1">
    <w:name w:val="ListLabel 18"/>
    <w:qFormat/>
    <w:rPr>
      <w:rFonts w:eastAsia="Calibri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itre1" w:customStyle="1">
    <w:name w:val="Titre1"/>
    <w:basedOn w:val="Normal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81e33"/>
    <w:pPr>
      <w:spacing w:before="0" w:after="0"/>
      <w:ind w:left="720" w:hanging="0"/>
      <w:contextualSpacing/>
    </w:pPr>
    <w:rPr/>
  </w:style>
  <w:style w:type="paragraph" w:styleId="Entte1" w:customStyle="1">
    <w:name w:val="En-tête1"/>
    <w:basedOn w:val="Normal"/>
    <w:uiPriority w:val="99"/>
    <w:unhideWhenUsed/>
    <w:qFormat/>
    <w:rsid w:val="0081726f"/>
    <w:pPr>
      <w:tabs>
        <w:tab w:val="center" w:pos="4703" w:leader="none"/>
        <w:tab w:val="right" w:pos="9406" w:leader="none"/>
      </w:tabs>
      <w:spacing w:lineRule="auto" w:line="240"/>
    </w:pPr>
    <w:rPr/>
  </w:style>
  <w:style w:type="paragraph" w:styleId="Pieddepage1" w:customStyle="1">
    <w:name w:val="Pied de page1"/>
    <w:basedOn w:val="Normal"/>
    <w:link w:val="PieddepageCar"/>
    <w:uiPriority w:val="99"/>
    <w:unhideWhenUsed/>
    <w:qFormat/>
    <w:rsid w:val="0081726f"/>
    <w:pPr>
      <w:tabs>
        <w:tab w:val="center" w:pos="4703" w:leader="none"/>
        <w:tab w:val="right" w:pos="9406" w:leader="none"/>
      </w:tabs>
      <w:spacing w:lineRule="auto" w:line="24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1726f"/>
    <w:pPr>
      <w:spacing w:lineRule="auto" w:line="240"/>
    </w:pPr>
    <w:rPr>
      <w:rFonts w:ascii="Lucida Grande" w:hAnsi="Lucida Grande" w:cs="Lucida Grande"/>
      <w:sz w:val="18"/>
      <w:szCs w:val="18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5b624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5b6248"/>
    <w:pPr/>
    <w:rPr>
      <w:b/>
      <w:bCs/>
    </w:rPr>
  </w:style>
  <w:style w:type="paragraph" w:styleId="Contenudetableau" w:customStyle="1">
    <w:name w:val="Contenu de tableau"/>
    <w:basedOn w:val="Normal"/>
    <w:qFormat/>
    <w:pPr/>
    <w:rPr/>
  </w:style>
  <w:style w:type="paragraph" w:styleId="Titredetableau" w:customStyle="1">
    <w:name w:val="Titre de tableau"/>
    <w:basedOn w:val="Contenudetableau"/>
    <w:qFormat/>
    <w:pPr/>
    <w:rPr/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44CE9-D735-6E4B-B990-48BE90BD2C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LibreOffice/5.2.1.2$MacOSX_X86_64 LibreOffice_project/31dd62db80d4e60af04904455ec9c9219178d620</Application>
  <Pages>3</Pages>
  <Words>584</Words>
  <Characters>3033</Characters>
  <CharactersWithSpaces>3590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2016-09-12T11:01:00Z</dcterms:created>
  <dc:creator>Nicolas Turtschi</dc:creator>
  <dc:description/>
  <dc:language>fr-CH</dc:language>
  <cp:lastModifiedBy/>
  <dcterms:modified xsi:type="dcterms:W3CDTF">2018-09-30T08:47:41Z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